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E758646" w14:textId="0FC14576" w:rsidR="008962A8" w:rsidRDefault="008962A8" w:rsidP="008962A8"/>
    <w:p w14:paraId="2DAD1CB9" w14:textId="77777777" w:rsidR="008962A8" w:rsidRDefault="008962A8" w:rsidP="008962A8">
      <w:r>
        <w:t>Supplementary Material</w:t>
      </w:r>
    </w:p>
    <w:p w14:paraId="6533B142" w14:textId="77777777" w:rsidR="008962A8" w:rsidRDefault="008962A8" w:rsidP="008962A8"/>
    <w:p w14:paraId="0B2418D5" w14:textId="77777777" w:rsidR="008962A8" w:rsidRDefault="008962A8" w:rsidP="008962A8">
      <w:r>
        <w:t>Manuscript Title: Early Versus Delayed Removal of the Urethral Catheter After Percutaneous Nephrolithotomy: A Systematic Review of Safety, Feasibility, and Impact on Enhanced Recovery</w:t>
      </w:r>
    </w:p>
    <w:p w14:paraId="02D94D6B" w14:textId="77777777" w:rsidR="008962A8" w:rsidRDefault="008962A8" w:rsidP="008962A8"/>
    <w:p w14:paraId="657BB186" w14:textId="77777777" w:rsidR="008962A8" w:rsidRDefault="008962A8" w:rsidP="008962A8">
      <w:r>
        <w:t>Manuscript No: AUR-26-RA-164</w:t>
      </w:r>
    </w:p>
    <w:p w14:paraId="55564F9A" w14:textId="77777777" w:rsidR="008962A8" w:rsidRDefault="008962A8" w:rsidP="008962A8"/>
    <w:p w14:paraId="6B38A354" w14:textId="77777777" w:rsidR="008962A8" w:rsidRDefault="008962A8" w:rsidP="008962A8">
      <w:r>
        <w:t>Journal: Archive of Urological Research</w:t>
      </w:r>
    </w:p>
    <w:p w14:paraId="5C503FF9" w14:textId="072E789B" w:rsidR="008962A8" w:rsidRDefault="008962A8" w:rsidP="008962A8"/>
    <w:p w14:paraId="0DB30E80" w14:textId="77777777" w:rsidR="008962A8" w:rsidRDefault="008962A8" w:rsidP="008962A8"/>
    <w:p w14:paraId="293FEC37" w14:textId="77777777" w:rsidR="008962A8" w:rsidRDefault="008962A8" w:rsidP="008962A8">
      <w:r>
        <w:t>Supplementary Table S3. Sensitivity Analysis Restricted to Randomized Controlled Trials for Primary Outcomes</w:t>
      </w:r>
    </w:p>
    <w:p w14:paraId="1455B7CD" w14:textId="77777777" w:rsidR="008962A8" w:rsidRDefault="008962A8" w:rsidP="008962A8"/>
    <w:p w14:paraId="65EF42DD" w14:textId="38037360" w:rsidR="008962A8" w:rsidRDefault="008962A8" w:rsidP="008962A8">
      <w:r>
        <w:t>Outcome Number of RCTs Early Events Early Total Delayed Events Delayed Total RR (95% CI) p-value I²</w:t>
      </w:r>
    </w:p>
    <w:p w14:paraId="7DC29A7C" w14:textId="77777777" w:rsidR="00B277F2" w:rsidRPr="00B277F2" w:rsidRDefault="00B277F2" w:rsidP="00B277F2">
      <w:pPr>
        <w:spacing w:after="0" w:line="240" w:lineRule="auto"/>
        <w:rPr>
          <w:rFonts w:ascii="-webkit-standard" w:hAnsi="-webkit-standard" w:cs="Times New Roman"/>
          <w:color w:val="000000"/>
          <w:kern w:val="0"/>
          <w:sz w:val="27"/>
          <w:szCs w:val="27"/>
          <w14:ligatures w14:val="none"/>
        </w:rPr>
      </w:pPr>
      <w:r w:rsidRPr="00B277F2">
        <w:rPr>
          <w:rFonts w:ascii="-webkit-standard" w:hAnsi="-webkit-standard" w:cs="Times New Roman"/>
          <w:color w:val="2E74B5"/>
          <w:kern w:val="0"/>
          <w:sz w:val="36"/>
          <w:szCs w:val="36"/>
          <w14:ligatures w14:val="none"/>
        </w:rPr>
        <w:t>Outcomes Summary</w:t>
      </w:r>
    </w:p>
    <w:p w14:paraId="2DAD7E2F" w14:textId="77777777" w:rsidR="00B277F2" w:rsidRPr="00B277F2" w:rsidRDefault="00B277F2" w:rsidP="00B277F2">
      <w:pPr>
        <w:spacing w:after="0" w:line="240" w:lineRule="auto"/>
        <w:rPr>
          <w:rFonts w:ascii="-webkit-standard" w:hAnsi="-webkit-standard" w:cs="Times New Roman"/>
          <w:color w:val="000000"/>
          <w:kern w:val="0"/>
          <w:sz w:val="27"/>
          <w:szCs w:val="27"/>
          <w14:ligatures w14:val="none"/>
        </w:rPr>
      </w:pPr>
      <w:r w:rsidRPr="00B277F2">
        <w:rPr>
          <w:rFonts w:ascii="-webkit-standard" w:hAnsi="-webkit-standard" w:cs="Times New Roman"/>
          <w:color w:val="000000"/>
          <w:kern w:val="0"/>
          <w:sz w:val="27"/>
          <w:szCs w:val="27"/>
          <w14:ligatures w14:val="none"/>
        </w:rPr>
        <w:t> 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9"/>
        <w:gridCol w:w="1143"/>
        <w:gridCol w:w="886"/>
        <w:gridCol w:w="788"/>
        <w:gridCol w:w="1084"/>
        <w:gridCol w:w="987"/>
        <w:gridCol w:w="1093"/>
        <w:gridCol w:w="546"/>
        <w:gridCol w:w="247"/>
      </w:tblGrid>
      <w:tr w:rsidR="00B277F2" w:rsidRPr="00B277F2" w14:paraId="56EC725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F5496"/>
            <w:hideMark/>
          </w:tcPr>
          <w:p w14:paraId="73CEA391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b/>
                <w:bCs/>
                <w:color w:val="FFFFFF"/>
                <w:kern w:val="0"/>
                <w:sz w:val="15"/>
                <w:szCs w:val="15"/>
                <w14:ligatures w14:val="none"/>
              </w:rPr>
              <w:t>Outcome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F5496"/>
            <w:hideMark/>
          </w:tcPr>
          <w:p w14:paraId="5965F15A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b/>
                <w:bCs/>
                <w:color w:val="FFFFFF"/>
                <w:kern w:val="0"/>
                <w:sz w:val="15"/>
                <w:szCs w:val="15"/>
                <w14:ligatures w14:val="none"/>
              </w:rPr>
              <w:t>Number of RCTs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F5496"/>
            <w:hideMark/>
          </w:tcPr>
          <w:p w14:paraId="36E8F751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b/>
                <w:bCs/>
                <w:color w:val="FFFFFF"/>
                <w:kern w:val="0"/>
                <w:sz w:val="15"/>
                <w:szCs w:val="15"/>
                <w14:ligatures w14:val="none"/>
              </w:rPr>
              <w:t>Early Events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F5496"/>
            <w:hideMark/>
          </w:tcPr>
          <w:p w14:paraId="2264AE4D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b/>
                <w:bCs/>
                <w:color w:val="FFFFFF"/>
                <w:kern w:val="0"/>
                <w:sz w:val="15"/>
                <w:szCs w:val="15"/>
                <w14:ligatures w14:val="none"/>
              </w:rPr>
              <w:t>Early Total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F5496"/>
            <w:hideMark/>
          </w:tcPr>
          <w:p w14:paraId="0B7F8B94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b/>
                <w:bCs/>
                <w:color w:val="FFFFFF"/>
                <w:kern w:val="0"/>
                <w:sz w:val="15"/>
                <w:szCs w:val="15"/>
                <w14:ligatures w14:val="none"/>
              </w:rPr>
              <w:t>Delayed Events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F5496"/>
            <w:hideMark/>
          </w:tcPr>
          <w:p w14:paraId="371A6ACF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b/>
                <w:bCs/>
                <w:color w:val="FFFFFF"/>
                <w:kern w:val="0"/>
                <w:sz w:val="15"/>
                <w:szCs w:val="15"/>
                <w14:ligatures w14:val="none"/>
              </w:rPr>
              <w:t>Delayed Total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F5496"/>
            <w:hideMark/>
          </w:tcPr>
          <w:p w14:paraId="0B8049F7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b/>
                <w:bCs/>
                <w:color w:val="FFFFFF"/>
                <w:kern w:val="0"/>
                <w:sz w:val="15"/>
                <w:szCs w:val="15"/>
                <w14:ligatures w14:val="none"/>
              </w:rPr>
              <w:t>RR (95% CI)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F5496"/>
            <w:hideMark/>
          </w:tcPr>
          <w:p w14:paraId="53A23623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b/>
                <w:bCs/>
                <w:color w:val="FFFFFF"/>
                <w:kern w:val="0"/>
                <w:sz w:val="15"/>
                <w:szCs w:val="15"/>
                <w14:ligatures w14:val="none"/>
              </w:rPr>
              <w:t>p-value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F5496"/>
            <w:hideMark/>
          </w:tcPr>
          <w:p w14:paraId="1103B968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b/>
                <w:bCs/>
                <w:color w:val="FFFFFF"/>
                <w:kern w:val="0"/>
                <w:sz w:val="15"/>
                <w:szCs w:val="15"/>
                <w14:ligatures w14:val="none"/>
              </w:rPr>
              <w:t>I²</w:t>
            </w:r>
          </w:p>
        </w:tc>
      </w:tr>
      <w:tr w:rsidR="00B277F2" w:rsidRPr="00B277F2" w14:paraId="4BC771E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B7036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Urinary Retention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CA415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F72A6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E2CE9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DC1FC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7A423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0800D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0.94 (0.38–2.31)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D2213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0.89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12B51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0%</w:t>
            </w:r>
          </w:p>
        </w:tc>
      </w:tr>
      <w:tr w:rsidR="00B277F2" w:rsidRPr="00B277F2" w14:paraId="3929E82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hideMark/>
          </w:tcPr>
          <w:p w14:paraId="3D6A9772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Recatheterization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hideMark/>
          </w:tcPr>
          <w:p w14:paraId="3D40BE0A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hideMark/>
          </w:tcPr>
          <w:p w14:paraId="77C7665D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hideMark/>
          </w:tcPr>
          <w:p w14:paraId="37AEEABB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hideMark/>
          </w:tcPr>
          <w:p w14:paraId="4C6FE5D1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hideMark/>
          </w:tcPr>
          <w:p w14:paraId="7BD0739D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hideMark/>
          </w:tcPr>
          <w:p w14:paraId="06F0556F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1.05 (0.42–2.62)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hideMark/>
          </w:tcPr>
          <w:p w14:paraId="4D0A3F7E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0.92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hideMark/>
          </w:tcPr>
          <w:p w14:paraId="1D329925" w14:textId="77777777" w:rsidR="00B277F2" w:rsidRPr="00B277F2" w:rsidRDefault="00B277F2" w:rsidP="00B277F2">
            <w:pPr>
              <w:spacing w:after="0" w:line="240" w:lineRule="auto"/>
              <w:jc w:val="center"/>
              <w:rPr>
                <w:rFonts w:ascii="-webkit-standard" w:hAnsi="-webkit-standard" w:cs="Times New Roman"/>
                <w:kern w:val="0"/>
                <w:sz w:val="18"/>
                <w:szCs w:val="18"/>
                <w14:ligatures w14:val="none"/>
              </w:rPr>
            </w:pPr>
            <w:r w:rsidRPr="00B277F2">
              <w:rPr>
                <w:rFonts w:ascii="-webkit-standard" w:hAnsi="-webkit-standard" w:cs="Times New Roman"/>
                <w:kern w:val="0"/>
                <w:sz w:val="15"/>
                <w:szCs w:val="15"/>
                <w14:ligatures w14:val="none"/>
              </w:rPr>
              <w:t>0%</w:t>
            </w:r>
          </w:p>
        </w:tc>
      </w:tr>
    </w:tbl>
    <w:p w14:paraId="26E51724" w14:textId="77777777" w:rsidR="008962A8" w:rsidRDefault="008962A8" w:rsidP="008962A8"/>
    <w:p w14:paraId="3DB58769" w14:textId="77777777" w:rsidR="008962A8" w:rsidRDefault="008962A8" w:rsidP="008962A8">
      <w:r>
        <w:t>Abbreviations: RCT = Randomized Controlled Trial; RR = Risk Ratio; CI = Confidence Interval.</w:t>
      </w:r>
    </w:p>
    <w:p w14:paraId="78189DFC" w14:textId="77777777" w:rsidR="008962A8" w:rsidRDefault="008962A8" w:rsidP="008962A8"/>
    <w:p w14:paraId="6371BA64" w14:textId="77777777" w:rsidR="008962A8" w:rsidRDefault="008962A8" w:rsidP="008962A8">
      <w:r>
        <w:t>Interpretation:</w:t>
      </w:r>
    </w:p>
    <w:p w14:paraId="237F112F" w14:textId="147C1083" w:rsidR="008962A8" w:rsidRDefault="008962A8">
      <w:r>
        <w:t>To confirm that the null findings for the primary outcomes were not driven by selection bias inherent in observational studies, a sensitivity analysis was performed using only the four randomized controlled trials. The pooled risk ratio for urinary retention in the RCT-only analysis was 0.94 (95% CI 0.38–2.31, p = 0.89), and for recatheterization was 1.05 (95% CI 0.42–2.62, p = 0.92). Both outcomes demonstrated zero statistical heterogeneity (I² = 0%), indicating complete consistency across the included RCTs. These estimates are virtually identical to the overall pooled results that included observational data. This confirms the robustness of the primary finding: early urethral catheter removal within 24 hours after PCNL does not increase the risk of urinary retention or recatheteriz</w:t>
      </w:r>
      <w:r w:rsidR="00603902">
        <w:t>a</w:t>
      </w:r>
      <w:r w:rsidR="000D33CE">
        <w:t>tion</w:t>
      </w:r>
    </w:p>
    <w:sectPr w:rsidR="008962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-webkit-standard">
    <w:altName w:val="Cambria"/>
    <w:panose1 w:val="020B0604020202020204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web"/>
  <w:zoom w:percent="2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2A8"/>
    <w:rsid w:val="00037DEF"/>
    <w:rsid w:val="000666DF"/>
    <w:rsid w:val="000D33CE"/>
    <w:rsid w:val="00234E69"/>
    <w:rsid w:val="002D5730"/>
    <w:rsid w:val="00354595"/>
    <w:rsid w:val="00360D9A"/>
    <w:rsid w:val="00603902"/>
    <w:rsid w:val="00615D24"/>
    <w:rsid w:val="006709C9"/>
    <w:rsid w:val="0079039A"/>
    <w:rsid w:val="007F27AC"/>
    <w:rsid w:val="008962A8"/>
    <w:rsid w:val="00980FC6"/>
    <w:rsid w:val="00A2201D"/>
    <w:rsid w:val="00AE0298"/>
    <w:rsid w:val="00B277F2"/>
    <w:rsid w:val="00B420A6"/>
    <w:rsid w:val="00BD44CE"/>
    <w:rsid w:val="00C47BF5"/>
    <w:rsid w:val="00CC7FD3"/>
    <w:rsid w:val="00D72613"/>
    <w:rsid w:val="00D90ABF"/>
    <w:rsid w:val="00E138AA"/>
    <w:rsid w:val="00EF1820"/>
    <w:rsid w:val="00F0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B8A08C"/>
  <w15:chartTrackingRefBased/>
  <w15:docId w15:val="{2C54A9E6-7C40-4D41-A38A-8ED08E406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62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62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62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62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62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62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62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62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62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62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62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62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62A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62A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62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62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62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62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62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62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62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62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62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62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62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62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62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62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62A8"/>
    <w:rPr>
      <w:b/>
      <w:bCs/>
      <w:smallCaps/>
      <w:color w:val="2F5496" w:themeColor="accent1" w:themeShade="BF"/>
      <w:spacing w:val="5"/>
    </w:rPr>
  </w:style>
  <w:style w:type="paragraph" w:customStyle="1" w:styleId="s3">
    <w:name w:val="s3"/>
    <w:basedOn w:val="Normal"/>
    <w:rsid w:val="00B277F2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bumpedfont15">
    <w:name w:val="bumpedfont15"/>
    <w:basedOn w:val="DefaultParagraphFont"/>
    <w:rsid w:val="00B277F2"/>
  </w:style>
  <w:style w:type="paragraph" w:customStyle="1" w:styleId="s6">
    <w:name w:val="s6"/>
    <w:basedOn w:val="Normal"/>
    <w:rsid w:val="00B277F2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5">
    <w:name w:val="s5"/>
    <w:basedOn w:val="DefaultParagraphFont"/>
    <w:rsid w:val="00B277F2"/>
  </w:style>
  <w:style w:type="character" w:customStyle="1" w:styleId="s8">
    <w:name w:val="s8"/>
    <w:basedOn w:val="DefaultParagraphFont"/>
    <w:rsid w:val="00B27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tauheed fareed</dc:creator>
  <cp:keywords/>
  <dc:description/>
  <cp:lastModifiedBy>tauheed fareed</cp:lastModifiedBy>
  <cp:revision>2</cp:revision>
  <dcterms:created xsi:type="dcterms:W3CDTF">2026-08-01T14:16:00Z</dcterms:created>
  <dcterms:modified xsi:type="dcterms:W3CDTF">2026-08-01T14:16:00Z</dcterms:modified>
</cp:coreProperties>
</file>